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2024上半年成都体育学院公职就业备考活动</w:t>
      </w:r>
    </w:p>
    <w:p>
      <w:pPr>
        <w:pStyle w:val="style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</w:t>
      </w:r>
    </w:p>
    <w:p>
      <w:pPr>
        <w:pStyle w:val="style0"/>
        <w:spacing w:lineRule="auto" w:line="480"/>
        <w:jc w:val="center"/>
        <w:rPr>
          <w:rFonts w:hint="eastAsia"/>
          <w:b/>
          <w:bCs/>
          <w:sz w:val="96"/>
          <w:szCs w:val="96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合</w:t>
      </w: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作</w:t>
      </w: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方</w:t>
      </w: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52"/>
          <w:szCs w:val="52"/>
          <w:lang w:val="en-US" w:eastAsia="zh-CN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52"/>
          <w:szCs w:val="52"/>
          <w:lang w:val="en-US" w:eastAsia="zh-CN"/>
        </w:rPr>
        <w:t>案</w:t>
      </w:r>
    </w:p>
    <w:p>
      <w:pPr>
        <w:pStyle w:val="style1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textAlignment w:val="auto"/>
        <w:rPr>
          <w:rFonts w:ascii="微软雅黑" w:cs="微软雅黑" w:eastAsia="微软雅黑" w:hAnsi="微软雅黑" w:hint="eastAsia"/>
          <w:b w:val="false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ab/>
      </w:r>
      <w:bookmarkStart w:id="0" w:name="_Toc3037"/>
      <w:bookmarkStart w:id="1" w:name="_Toc11475"/>
      <w:bookmarkStart w:id="2" w:name="_Toc2019"/>
      <w:r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  <w:t>活动背景</w:t>
      </w:r>
      <w:bookmarkEnd w:id="0"/>
      <w:bookmarkEnd w:id="1"/>
      <w:bookmarkEnd w:id="2"/>
      <w:r>
        <w:rPr>
          <w:rFonts w:ascii="微软雅黑" w:cs="微软雅黑" w:eastAsia="微软雅黑" w:hAnsi="微软雅黑" w:hint="eastAsia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pStyle w:val="style94"/>
        <w:widowControl/>
        <w:spacing w:before="0" w:beforeAutospacing="false" w:after="240" w:afterAutospacing="false" w:lineRule="atLeast" w:line="480"/>
        <w:ind w:firstLine="420" w:firstLineChars="200"/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</w:pPr>
      <w:r>
        <w:rPr>
          <w:rFonts w:ascii="宋体" w:cs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2024年为</w:t>
      </w:r>
      <w:r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提升我校考生应对</w:t>
      </w:r>
      <w:r>
        <w:rPr>
          <w:rFonts w:ascii="宋体" w:cs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公职类考试的</w:t>
      </w:r>
      <w:r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综合备考能力，提高我校为各级党政机关后备力量建设的人才服务水平，</w:t>
      </w:r>
      <w:r>
        <w:rPr>
          <w:rFonts w:ascii="宋体" w:cs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特</w:t>
      </w:r>
      <w:r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举办</w:t>
      </w:r>
      <w:r>
        <w:rPr>
          <w:rFonts w:ascii="宋体" w:cs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系列备考活动</w:t>
      </w:r>
      <w:r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vertAlign w:val="baseline"/>
          <w:lang w:val="en-US" w:bidi="ar-SA" w:eastAsia="zh-CN"/>
        </w:rPr>
        <w:t>，助力我校考生更系统深入了解考情，提升应试能力。</w:t>
      </w:r>
    </w:p>
    <w:p>
      <w:pPr>
        <w:pStyle w:val="style0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left"/>
        <w:textAlignment w:val="auto"/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pStyle w:val="style0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jc w:val="left"/>
        <w:textAlignment w:val="auto"/>
        <w:rPr>
          <w:rFonts w:ascii="微软雅黑" w:cs="微软雅黑" w:eastAsia="微软雅黑" w:hAnsi="微软雅黑" w:hint="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  <w:t>活动安排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1632"/>
        <w:gridCol w:w="2131"/>
        <w:gridCol w:w="2132"/>
      </w:tblGrid>
      <w:tr>
        <w:trPr>
          <w:trHeight w:val="90" w:hRule="atLeast"/>
        </w:trPr>
        <w:tc>
          <w:tcPr>
            <w:tcW w:w="2627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632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131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2132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jc w:val="center"/>
              <w:rPr>
                <w:rFonts w:ascii="宋体" w:cs="宋体" w:eastAsia="宋体" w:hAnsi="宋体"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活动地址</w:t>
            </w:r>
          </w:p>
        </w:tc>
      </w:tr>
      <w:tr>
        <w:tblPrEx/>
        <w:trPr/>
        <w:tc>
          <w:tcPr>
            <w:tcW w:w="2627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jc w:val="center"/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书展</w:t>
            </w:r>
          </w:p>
        </w:tc>
        <w:tc>
          <w:tcPr>
            <w:tcW w:w="16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线下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jc w:val="center"/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就业指导中心门口</w:t>
            </w:r>
          </w:p>
        </w:tc>
      </w:tr>
      <w:tr>
        <w:tblPrEx/>
        <w:trPr>
          <w:trHeight w:val="442" w:hRule="atLeast"/>
        </w:trPr>
        <w:tc>
          <w:tcPr>
            <w:tcW w:w="2627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教师资格证笔试免费   培训班</w:t>
            </w:r>
          </w:p>
        </w:tc>
        <w:tc>
          <w:tcPr>
            <w:tcW w:w="16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3月4日-6日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直播可回放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线上</w:t>
            </w:r>
          </w:p>
        </w:tc>
      </w:tr>
      <w:tr>
        <w:tblPrEx/>
        <w:trPr>
          <w:trHeight w:val="90" w:hRule="atLeast"/>
        </w:trPr>
        <w:tc>
          <w:tcPr>
            <w:tcW w:w="2627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事业单位备考指导讲座</w:t>
            </w:r>
          </w:p>
        </w:tc>
        <w:tc>
          <w:tcPr>
            <w:tcW w:w="16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公告当天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直播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介时在群内公布链接</w:t>
            </w:r>
          </w:p>
        </w:tc>
      </w:tr>
      <w:tr>
        <w:tblPrEx/>
        <w:trPr>
          <w:trHeight w:val="90" w:hRule="atLeast"/>
        </w:trPr>
        <w:tc>
          <w:tcPr>
            <w:tcW w:w="2627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教师招聘备考指导讲座</w:t>
            </w:r>
          </w:p>
        </w:tc>
        <w:tc>
          <w:tcPr>
            <w:tcW w:w="16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公告后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面授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36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就业指导中心四楼</w:t>
            </w:r>
          </w:p>
        </w:tc>
      </w:tr>
    </w:tbl>
    <w:p>
      <w:pPr>
        <w:pStyle w:val="style0"/>
        <w:numPr>
          <w:ilvl w:val="0"/>
          <w:numId w:val="0"/>
        </w:numPr>
        <w:spacing w:lineRule="auto" w:line="360"/>
        <w:jc w:val="left"/>
        <w:rPr>
          <w:rFonts w:ascii="宋体" w:cs="宋体" w:eastAsia="宋体" w:hAnsi="宋体" w:hint="default"/>
          <w:color w:val="ff000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color w:val="ff0000"/>
          <w:sz w:val="21"/>
          <w:szCs w:val="21"/>
          <w:lang w:val="en-US" w:eastAsia="zh-CN"/>
        </w:rPr>
        <w:t>注：上述课程全程免费参与，请同学们珍惜机会。</w:t>
      </w:r>
    </w:p>
    <w:p>
      <w:pPr>
        <w:pStyle w:val="style0"/>
        <w:numPr>
          <w:ilvl w:val="0"/>
          <w:numId w:val="0"/>
        </w:numPr>
        <w:spacing w:lineRule="auto" w:line="360"/>
        <w:jc w:val="left"/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cs="微软雅黑" w:eastAsia="微软雅黑" w:hAnsi="微软雅黑" w:hint="eastAsia"/>
          <w:b/>
          <w:bCs/>
          <w:color w:val="000000"/>
          <w:kern w:val="0"/>
          <w:sz w:val="24"/>
          <w:szCs w:val="24"/>
          <w:lang w:val="en-US" w:eastAsia="zh-CN"/>
        </w:rPr>
        <w:t>二、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  <w:t>活动对象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20" w:firstLineChars="200"/>
        <w:jc w:val="both"/>
        <w:textAlignment w:val="auto"/>
        <w:rPr>
          <w:rFonts w:ascii="微软雅黑" w:cs="微软雅黑" w:eastAsia="微软雅黑" w:hAnsi="微软雅黑" w:hint="eastAsia"/>
          <w:color w:val="000000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color w:val="000000"/>
          <w:kern w:val="0"/>
          <w:sz w:val="21"/>
          <w:szCs w:val="21"/>
          <w:lang w:val="en-US" w:eastAsia="zh-CN"/>
        </w:rPr>
        <w:t>成都体育学院全体备考</w:t>
      </w:r>
      <w:r>
        <w:rPr>
          <w:rFonts w:ascii="宋体" w:cs="宋体" w:hAnsi="宋体" w:hint="eastAsia"/>
          <w:color w:val="000000"/>
          <w:kern w:val="0"/>
          <w:sz w:val="21"/>
          <w:szCs w:val="21"/>
          <w:lang w:val="en-US" w:eastAsia="zh-CN"/>
        </w:rPr>
        <w:t>同学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  <w:t>三、活动内容</w:t>
      </w:r>
    </w:p>
    <w:p>
      <w:pPr>
        <w:pStyle w:val="style0"/>
        <w:numPr>
          <w:ilvl w:val="0"/>
          <w:numId w:val="0"/>
        </w:numPr>
        <w:jc w:val="left"/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</w:pPr>
    </w:p>
    <w:p>
      <w:pPr>
        <w:pStyle w:val="style0"/>
        <w:numPr>
          <w:ilvl w:val="0"/>
          <w:numId w:val="0"/>
        </w:numPr>
        <w:jc w:val="left"/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  <w:t>活动一：书展</w:t>
      </w:r>
    </w:p>
    <w:tbl>
      <w:tblPr>
        <w:tblStyle w:val="style154"/>
        <w:tblpPr w:leftFromText="180" w:rightFromText="180" w:topFromText="0" w:bottomFromText="0" w:vertAnchor="text" w:horzAnchor="page" w:tblpX="1800" w:tblpY="260"/>
        <w:tblOverlap w:val="never"/>
        <w:tblW w:w="85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059"/>
        <w:gridCol w:w="4647"/>
        <w:gridCol w:w="1883"/>
      </w:tblGrid>
      <w:tr>
        <w:trPr>
          <w:trHeight w:val="479" w:hRule="atLeast"/>
        </w:trPr>
        <w:tc>
          <w:tcPr>
            <w:tcW w:w="8529" w:type="dxa"/>
            <w:gridSpan w:val="4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eastAsia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书展活动</w:t>
            </w:r>
          </w:p>
        </w:tc>
      </w:tr>
      <w:tr>
        <w:tblPrEx/>
        <w:trPr>
          <w:trHeight w:val="606" w:hRule="atLeast"/>
        </w:trPr>
        <w:tc>
          <w:tcPr>
            <w:tcW w:w="93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形式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465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内容</w:t>
            </w:r>
          </w:p>
        </w:tc>
        <w:tc>
          <w:tcPr>
            <w:tcW w:w="18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</w:tr>
      <w:tr>
        <w:tblPrEx/>
        <w:trPr>
          <w:trHeight w:val="957" w:hRule="atLeast"/>
        </w:trPr>
        <w:tc>
          <w:tcPr>
            <w:tcW w:w="93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书展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就业指导中心门口</w:t>
            </w:r>
          </w:p>
        </w:tc>
        <w:tc>
          <w:tcPr>
            <w:tcW w:w="465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 xml:space="preserve">赠送各类公职备考图书（10:00-16:00）      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color w:val="0000ff"/>
                <w:sz w:val="21"/>
                <w:szCs w:val="21"/>
                <w:vertAlign w:val="baseline"/>
                <w:lang w:val="en-US" w:eastAsia="zh-CN"/>
              </w:rPr>
              <w:t xml:space="preserve"> 例如</w:t>
            </w:r>
            <w:r>
              <w:rPr>
                <w:rFonts w:ascii="宋体" w:cs="宋体" w:hAnsi="宋体" w:hint="eastAsia"/>
                <w:b w:val="false"/>
                <w:bCs w:val="false"/>
                <w:color w:val="0000ff"/>
                <w:sz w:val="21"/>
                <w:szCs w:val="21"/>
                <w:vertAlign w:val="baseline"/>
                <w:lang w:val="en-US" w:eastAsia="zh-CN"/>
              </w:rPr>
              <w:t>：公务员、事业单位、教师招聘等备考图书</w:t>
            </w:r>
          </w:p>
        </w:tc>
        <w:tc>
          <w:tcPr>
            <w:tcW w:w="18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ascii="宋体" w:cs="宋体" w:hAnsi="宋体" w:hint="default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日（10:00-16:00）</w:t>
            </w:r>
          </w:p>
        </w:tc>
      </w:tr>
    </w:tbl>
    <w:p>
      <w:pPr>
        <w:pStyle w:val="style0"/>
        <w:numPr>
          <w:ilvl w:val="0"/>
          <w:numId w:val="0"/>
        </w:numPr>
        <w:jc w:val="left"/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1"/>
          <w:szCs w:val="21"/>
          <w:vertAlign w:val="baseline"/>
          <w:lang w:val="en-US" w:eastAsia="zh-CN"/>
        </w:rPr>
      </w:pP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  <w:t>活动二：教师资格证</w:t>
      </w:r>
    </w:p>
    <w:tbl>
      <w:tblPr>
        <w:tblStyle w:val="style105"/>
        <w:tblW w:w="8634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82"/>
        <w:gridCol w:w="1245"/>
        <w:gridCol w:w="2867"/>
        <w:gridCol w:w="1766"/>
      </w:tblGrid>
      <w:tr>
        <w:trPr>
          <w:trHeight w:val="468" w:hRule="atLeast"/>
        </w:trPr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成都体育学院教师资格证笔试冲刺点睛班课程时间表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学段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上课形式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3月4日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中/小/幼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综合素质（高频模块讲解）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3月4日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中/小/幼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综合素质（高频模块讲解）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3月5日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9：00-12:00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中/小/幼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科目二（高频模块讲解）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3月5日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中/小/幼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科目二（高频模块讲解）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3月5日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19:00-22:00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小学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科目二（教学设计讲解）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3月6日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中学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科目三（高频模块讲解）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  <w:tr>
        <w:tblPrEx/>
        <w:trPr>
          <w:trHeight w:val="270" w:hRule="atLeast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3月6日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19:00-22:00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中学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科目三（高频模块讲解）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直播（可回放）</w:t>
            </w:r>
          </w:p>
        </w:tc>
      </w:tr>
    </w:tbl>
    <w:p>
      <w:pPr>
        <w:pStyle w:val="style0"/>
        <w:jc w:val="left"/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  <w:t>注：此课程全程免费</w:t>
      </w:r>
    </w:p>
    <w:p>
      <w:pPr>
        <w:pStyle w:val="style0"/>
        <w:jc w:val="left"/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  <w:t>课程特色：压轴大课、考前冲刺、圈画重点、干货满满</w:t>
      </w:r>
    </w:p>
    <w:p>
      <w:pPr>
        <w:pStyle w:val="style0"/>
        <w:jc w:val="left"/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  <w:t>报名方式：扫描下方二维码报名开通课程，并加入微信群（公众号最末端）</w:t>
      </w:r>
    </w:p>
    <w:p>
      <w:pPr>
        <w:pStyle w:val="style0"/>
        <w:jc w:val="left"/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  <w:t>报名二维码：</w:t>
      </w:r>
    </w:p>
    <w:p>
      <w:pPr>
        <w:pStyle w:val="style0"/>
        <w:jc w:val="left"/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  <w:drawing>
          <wp:inline distL="0" distT="0" distB="0" distR="0">
            <wp:extent cx="1477010" cy="1477010"/>
            <wp:effectExtent l="0" t="0" r="8890" b="8890"/>
            <wp:docPr id="1026" name="图片 2" descr="冲刺点睛班-体院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7010" cy="1477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宋体" w:cs="宋体" w:hAnsi="宋体" w:hint="eastAsia"/>
          <w:b w:val="false"/>
          <w:bCs w:val="false"/>
          <w:sz w:val="21"/>
          <w:szCs w:val="21"/>
          <w:vertAlign w:val="baseline"/>
          <w:lang w:val="en-US" w:eastAsia="zh-CN"/>
        </w:rPr>
      </w:pP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default"/>
          <w:b/>
          <w:bCs/>
          <w:sz w:val="21"/>
          <w:szCs w:val="21"/>
          <w:vertAlign w:val="baseline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  <w:t>活动三：事业单位</w:t>
      </w:r>
    </w:p>
    <w:tbl>
      <w:tblPr>
        <w:tblStyle w:val="style154"/>
        <w:tblpPr w:leftFromText="180" w:rightFromText="180" w:topFromText="0" w:bottomFromText="0" w:vertAnchor="text" w:horzAnchor="page" w:tblpX="1800" w:tblpY="24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19"/>
        <w:gridCol w:w="5050"/>
        <w:gridCol w:w="1170"/>
      </w:tblGrid>
      <w:tr>
        <w:trPr/>
        <w:tc>
          <w:tcPr>
            <w:tcW w:w="8522" w:type="dxa"/>
            <w:gridSpan w:val="4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微软雅黑" w:cs="微软雅黑" w:eastAsia="微软雅黑" w:hAnsi="微软雅黑" w:hint="default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2024上半年成都体育学院事业单位备考指导讲座</w:t>
            </w:r>
          </w:p>
        </w:tc>
      </w:tr>
      <w:tr>
        <w:tblPrEx/>
        <w:trPr/>
        <w:tc>
          <w:tcPr>
            <w:tcW w:w="118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讲座形式</w:t>
            </w:r>
          </w:p>
        </w:tc>
        <w:tc>
          <w:tcPr>
            <w:tcW w:w="111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讲座地址</w:t>
            </w:r>
          </w:p>
        </w:tc>
        <w:tc>
          <w:tcPr>
            <w:tcW w:w="505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讲座内容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讲座时间</w:t>
            </w:r>
          </w:p>
        </w:tc>
      </w:tr>
      <w:tr>
        <w:tblPrEx/>
        <w:trPr>
          <w:trHeight w:val="1204" w:hRule="atLeast"/>
        </w:trPr>
        <w:tc>
          <w:tcPr>
            <w:tcW w:w="118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直播</w:t>
            </w:r>
          </w:p>
        </w:tc>
        <w:tc>
          <w:tcPr>
            <w:tcW w:w="111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待定</w:t>
            </w:r>
          </w:p>
        </w:tc>
        <w:tc>
          <w:tcPr>
            <w:tcW w:w="5050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both"/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  <w:t>1、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2024上半年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eastAsia="zh-CN"/>
              </w:rPr>
              <w:t>事业单位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公告解析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、岗位分析、报考指导</w:t>
            </w:r>
          </w:p>
          <w:p>
            <w:pPr>
              <w:pStyle w:val="style0"/>
              <w:numPr>
                <w:ilvl w:val="0"/>
                <w:numId w:val="0"/>
              </w:numPr>
              <w:jc w:val="both"/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  <w:t>2、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2024上半年事业单位热门考点分析、题型预测</w:t>
            </w:r>
          </w:p>
          <w:p>
            <w:pPr>
              <w:pStyle w:val="style0"/>
              <w:numPr>
                <w:ilvl w:val="0"/>
                <w:numId w:val="0"/>
              </w:numPr>
              <w:jc w:val="both"/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  <w:t>3、</w:t>
            </w: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事业单位考试历年真题题型回顾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公告</w:t>
            </w: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当天</w:t>
            </w:r>
          </w:p>
        </w:tc>
      </w:tr>
      <w:tr>
        <w:tblPrEx/>
        <w:trPr/>
        <w:tc>
          <w:tcPr>
            <w:tcW w:w="8522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微软雅黑" w:cs="微软雅黑" w:eastAsia="微软雅黑" w:hAnsi="微软雅黑" w:hint="default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drawing>
                <wp:anchor distT="0" distB="0" distL="114300" distR="114300" simplePos="false" relativeHeight="3" behindDoc="true" locked="false" layoutInCell="true" allowOverlap="true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293370</wp:posOffset>
                  </wp:positionV>
                  <wp:extent cx="1428750" cy="1428750"/>
                  <wp:effectExtent l="0" t="0" r="0" b="0"/>
                  <wp:wrapTight wrapText="bothSides">
                    <wp:wrapPolygon edited="false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027" name="图片 3" descr="成体-事业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28750" cy="14287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扫描下方二维码即可报名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both"/>
              <w:textAlignment w:val="auto"/>
              <w:rPr>
                <w:rFonts w:ascii="微软雅黑" w:cs="微软雅黑" w:eastAsia="微软雅黑" w:hAnsi="微软雅黑" w:hint="default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</w:pPr>
    </w:p>
    <w:p>
      <w:pPr>
        <w:pStyle w:val="style0"/>
        <w:numPr>
          <w:ilvl w:val="0"/>
          <w:numId w:val="0"/>
        </w:numPr>
        <w:jc w:val="both"/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</w:pPr>
    </w:p>
    <w:p>
      <w:pPr>
        <w:pStyle w:val="style0"/>
        <w:numPr>
          <w:ilvl w:val="0"/>
          <w:numId w:val="0"/>
        </w:numPr>
        <w:jc w:val="both"/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</w:pPr>
      <w:r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  <w:t>赠送资料：</w:t>
      </w:r>
    </w:p>
    <w:p>
      <w:pPr>
        <w:pStyle w:val="style0"/>
        <w:numPr>
          <w:ilvl w:val="0"/>
          <w:numId w:val="0"/>
        </w:numPr>
        <w:jc w:val="both"/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</w:pPr>
      <w:r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  <w:t>1.事业单位备考指导手册</w:t>
      </w:r>
    </w:p>
    <w:p>
      <w:pPr>
        <w:pStyle w:val="style0"/>
        <w:numPr>
          <w:ilvl w:val="0"/>
          <w:numId w:val="0"/>
        </w:numPr>
        <w:jc w:val="both"/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</w:pPr>
      <w:r>
        <w:rPr>
          <w:rFonts w:ascii="宋体" w:cs="宋体" w:hAnsi="宋体" w:hint="eastAsia"/>
          <w:kern w:val="2"/>
          <w:sz w:val="21"/>
          <w:szCs w:val="21"/>
          <w:vertAlign w:val="baseline"/>
          <w:lang w:val="en-US" w:bidi="ar-SA" w:eastAsia="zh-CN"/>
        </w:rPr>
        <w:t>2</w:t>
      </w:r>
      <w:r>
        <w:rPr>
          <w:rFonts w:ascii="宋体" w:cs="宋体" w:eastAsia="宋体" w:hAnsi="宋体" w:hint="eastAsia"/>
          <w:kern w:val="2"/>
          <w:sz w:val="21"/>
          <w:szCs w:val="21"/>
          <w:vertAlign w:val="baseline"/>
          <w:lang w:val="en-US" w:bidi="ar-SA" w:eastAsia="zh-CN"/>
        </w:rPr>
        <w:t>.赠送事业单位常识600题</w:t>
      </w:r>
    </w:p>
    <w:p>
      <w:pPr>
        <w:pStyle w:val="style0"/>
        <w:bidi w:val="false"/>
        <w:rPr>
          <w:rFonts w:ascii="Calibri" w:cs="宋体" w:eastAsia="宋体" w:hAnsi="Calibri" w:hint="default"/>
          <w:kern w:val="2"/>
          <w:sz w:val="21"/>
          <w:szCs w:val="24"/>
          <w:lang w:val="en-US" w:bidi="ar-SA" w:eastAsia="zh-CN"/>
        </w:rPr>
      </w:pPr>
      <w:r>
        <w:rPr>
          <w:rFonts w:cs="宋体" w:hint="eastAsia"/>
          <w:kern w:val="2"/>
          <w:sz w:val="21"/>
          <w:szCs w:val="24"/>
          <w:lang w:val="en-US" w:bidi="ar-SA" w:eastAsia="zh-CN"/>
        </w:rPr>
        <w:t xml:space="preserve">  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1"/>
          <w:szCs w:val="21"/>
          <w:vertAlign w:val="baseline"/>
          <w:lang w:val="en-US" w:eastAsia="zh-CN"/>
        </w:rPr>
        <w:t>活动四：教师招聘</w:t>
      </w:r>
    </w:p>
    <w:tbl>
      <w:tblPr>
        <w:tblStyle w:val="style154"/>
        <w:tblpPr w:leftFromText="180" w:rightFromText="180" w:topFromText="0" w:bottomFromText="0" w:vertAnchor="text" w:horzAnchor="page" w:tblpX="1776" w:tblpY="126"/>
        <w:tblOverlap w:val="never"/>
        <w:tblW w:w="85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10"/>
        <w:gridCol w:w="4874"/>
        <w:gridCol w:w="1503"/>
      </w:tblGrid>
      <w:tr>
        <w:trPr>
          <w:trHeight w:val="448" w:hRule="atLeast"/>
        </w:trPr>
        <w:tc>
          <w:tcPr>
            <w:tcW w:w="8529" w:type="dxa"/>
            <w:gridSpan w:val="4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eastAsia="宋体"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2024上半年成都体育学院教师招聘备考指导讲座</w:t>
            </w:r>
          </w:p>
        </w:tc>
      </w:tr>
      <w:tr>
        <w:tblPrEx/>
        <w:trPr>
          <w:trHeight w:val="564" w:hRule="atLeast"/>
        </w:trPr>
        <w:tc>
          <w:tcPr>
            <w:tcW w:w="10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讲座形式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讲座地址</w:t>
            </w:r>
          </w:p>
        </w:tc>
        <w:tc>
          <w:tcPr>
            <w:tcW w:w="48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讲座内容</w:t>
            </w:r>
          </w:p>
        </w:tc>
        <w:tc>
          <w:tcPr>
            <w:tcW w:w="150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eastAsia="zh-CN"/>
              </w:rPr>
              <w:t>讲座时间</w:t>
            </w:r>
          </w:p>
        </w:tc>
      </w:tr>
      <w:tr>
        <w:tblPrEx/>
        <w:trPr>
          <w:trHeight w:val="1210" w:hRule="atLeast"/>
        </w:trPr>
        <w:tc>
          <w:tcPr>
            <w:tcW w:w="10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面授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vertAlign w:val="baseline"/>
                <w:lang w:val="en-US" w:eastAsia="zh-CN"/>
              </w:rPr>
              <w:t>就业指导中心四楼</w:t>
            </w:r>
          </w:p>
        </w:tc>
        <w:tc>
          <w:tcPr>
            <w:tcW w:w="4878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both"/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  <w:t>1.当地教师招聘考试的时间、报考条件、考试流程等讯息梳理</w:t>
            </w:r>
          </w:p>
          <w:p>
            <w:pPr>
              <w:pStyle w:val="style0"/>
              <w:numPr>
                <w:ilvl w:val="0"/>
                <w:numId w:val="0"/>
              </w:numPr>
              <w:jc w:val="both"/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  <w:t>2.其考试特点介绍、考纲解读、考频分析、题型题量汇总等</w:t>
            </w:r>
          </w:p>
          <w:p>
            <w:pPr>
              <w:pStyle w:val="style0"/>
              <w:numPr>
                <w:ilvl w:val="0"/>
                <w:numId w:val="0"/>
              </w:numPr>
              <w:jc w:val="both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1"/>
                <w:szCs w:val="21"/>
                <w:vertAlign w:val="baseline"/>
                <w:lang w:val="en-US" w:bidi="ar-SA" w:eastAsia="zh-CN"/>
              </w:rPr>
              <w:t>3.参加教招考试简历填写制作要点</w:t>
            </w:r>
          </w:p>
        </w:tc>
        <w:tc>
          <w:tcPr>
            <w:tcW w:w="150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公告后</w:t>
            </w:r>
          </w:p>
        </w:tc>
      </w:tr>
      <w:tr>
        <w:tblPrEx/>
        <w:trPr>
          <w:trHeight w:val="2872" w:hRule="atLeast"/>
        </w:trPr>
        <w:tc>
          <w:tcPr>
            <w:tcW w:w="8529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扫描下方二维码即可报名</w:t>
            </w:r>
          </w:p>
          <w:p>
            <w:pPr>
              <w:pStyle w:val="style0"/>
              <w:bidi w:val="false"/>
              <w:rPr>
                <w:rFonts w:ascii="Calibri" w:cs="宋体" w:eastAsia="宋体" w:hAnsi="Calibri" w:hint="eastAsia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Fonts w:ascii="Calibri" w:cs="宋体" w:eastAsia="宋体" w:hAnsi="Calibri" w:hint="eastAsia"/>
                <w:kern w:val="2"/>
                <w:sz w:val="21"/>
                <w:szCs w:val="24"/>
                <w:lang w:val="en-US" w:bidi="ar-SA" w:eastAsia="zh-CN"/>
              </w:rPr>
              <w:drawing>
                <wp:anchor distT="0" distB="0" distL="114300" distR="114300" simplePos="false" relativeHeight="2" behindDoc="true" locked="false" layoutInCell="true" allowOverlap="true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118745</wp:posOffset>
                  </wp:positionV>
                  <wp:extent cx="1428750" cy="1428750"/>
                  <wp:effectExtent l="0" t="0" r="0" b="0"/>
                  <wp:wrapTight wrapText="bothSides">
                    <wp:wrapPolygon edited="false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028" name="图片 5" descr="成体-教招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28750" cy="14287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rPr>
                <w:rFonts w:hint="eastAsia"/>
                <w:lang w:val="en-US" w:eastAsia="zh-CN"/>
              </w:rPr>
            </w:pPr>
          </w:p>
          <w:p>
            <w:pPr>
              <w:pStyle w:val="style0"/>
              <w:bidi w:val="false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left"/>
        <w:textAlignment w:val="auto"/>
        <w:rPr>
          <w:rFonts w:ascii="微软雅黑" w:cs="微软雅黑" w:eastAsia="微软雅黑" w:hAnsi="微软雅黑" w:hint="eastAsia"/>
          <w:b/>
          <w:bCs/>
          <w:color w:val="000000"/>
          <w:kern w:val="0"/>
          <w:sz w:val="24"/>
          <w:szCs w:val="24"/>
          <w:vertAlign w:val="baseline"/>
          <w:lang w:val="en-US" w:eastAsia="zh-CN"/>
        </w:rPr>
      </w:pPr>
      <w:r>
        <w:rPr>
          <w:rFonts w:ascii="宋体" w:cs="宋体" w:eastAsia="宋体" w:hAnsi="宋体" w:hint="eastAsia"/>
          <w:b/>
          <w:bCs/>
          <w:color w:val="000000"/>
          <w:kern w:val="0"/>
          <w:sz w:val="21"/>
          <w:szCs w:val="21"/>
          <w:vertAlign w:val="baseline"/>
          <w:lang w:val="en-US" w:eastAsia="zh-CN"/>
        </w:rPr>
        <w:t>参与</w:t>
      </w:r>
      <w:r>
        <w:rPr>
          <w:rFonts w:ascii="宋体" w:cs="宋体" w:hAnsi="宋体" w:hint="eastAsia"/>
          <w:b/>
          <w:bCs/>
          <w:color w:val="000000"/>
          <w:kern w:val="0"/>
          <w:sz w:val="21"/>
          <w:szCs w:val="21"/>
          <w:vertAlign w:val="baseline"/>
          <w:lang w:val="en-US" w:eastAsia="zh-CN"/>
        </w:rPr>
        <w:t>课程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1"/>
          <w:szCs w:val="21"/>
          <w:vertAlign w:val="baseline"/>
          <w:lang w:val="en-US" w:eastAsia="zh-CN"/>
        </w:rPr>
        <w:t>赠送备考</w:t>
      </w:r>
      <w:r>
        <w:rPr>
          <w:rFonts w:ascii="宋体" w:cs="宋体" w:hAnsi="宋体" w:hint="eastAsia"/>
          <w:b/>
          <w:bCs/>
          <w:color w:val="000000"/>
          <w:kern w:val="0"/>
          <w:sz w:val="21"/>
          <w:szCs w:val="21"/>
          <w:vertAlign w:val="baseline"/>
          <w:lang w:val="en-US" w:eastAsia="zh-CN"/>
        </w:rPr>
        <w:t>资料</w:t>
      </w:r>
    </w:p>
    <w:p>
      <w:pPr>
        <w:pStyle w:val="style0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textAlignment w:val="auto"/>
        <w:rPr>
          <w:rFonts w:ascii="宋体" w:cs="宋体" w:eastAsia="宋体" w:hAnsi="宋体" w:hint="eastAsia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sz w:val="21"/>
          <w:szCs w:val="21"/>
          <w:lang w:val="en-US" w:eastAsia="zh-CN"/>
        </w:rPr>
        <w:t>1、教育公共基础-笔试大纲（电子版）</w:t>
      </w:r>
    </w:p>
    <w:p>
      <w:pPr>
        <w:pStyle w:val="style0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textAlignment w:val="auto"/>
        <w:rPr>
          <w:rFonts w:ascii="宋体" w:cs="宋体" w:eastAsia="宋体" w:hAnsi="宋体" w:hint="eastAsia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sz w:val="21"/>
          <w:szCs w:val="21"/>
          <w:lang w:val="en-US" w:eastAsia="zh-CN"/>
        </w:rPr>
        <w:t>2、教育公共基础-易错题集（电子版）</w:t>
      </w:r>
    </w:p>
    <w:p>
      <w:pPr>
        <w:pStyle w:val="style0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textAlignment w:val="auto"/>
        <w:rPr>
          <w:rFonts w:ascii="宋体" w:cs="宋体" w:eastAsia="宋体" w:hAnsi="宋体" w:hint="default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sz w:val="21"/>
          <w:szCs w:val="21"/>
          <w:lang w:val="en-US" w:eastAsia="zh-CN"/>
        </w:rPr>
        <w:t>3、教师招聘100核心知识点（电子版）</w:t>
      </w:r>
    </w:p>
    <w:p>
      <w:pPr>
        <w:pStyle w:val="style0"/>
        <w:numPr>
          <w:ilvl w:val="0"/>
          <w:numId w:val="0"/>
        </w:numPr>
        <w:spacing w:lineRule="auto" w:line="360"/>
        <w:rPr>
          <w:rFonts w:ascii="微软雅黑" w:cs="微软雅黑" w:eastAsia="微软雅黑" w:hAnsi="微软雅黑" w:hint="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b/>
          <w:bCs/>
          <w:color w:val="000000"/>
          <w:kern w:val="0"/>
          <w:sz w:val="24"/>
          <w:szCs w:val="24"/>
          <w:lang w:val="en-US" w:eastAsia="zh-CN"/>
        </w:rPr>
        <w:t>四、课后服务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left="3150" w:leftChars="200" w:hanging="2730" w:hangingChars="1300"/>
        <w:jc w:val="both"/>
        <w:textAlignment w:val="auto"/>
        <w:rPr>
          <w:rFonts w:ascii="宋体" w:cs="宋体" w:eastAsia="宋体" w:hAnsi="宋体" w:hint="eastAsia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bidi="zh-TW" w:eastAsia="zh-CN"/>
        </w:rPr>
      </w:pPr>
      <w:r>
        <w:rPr>
          <w:rFonts w:ascii="宋体" w:cs="宋体" w:eastAsia="宋体" w:hAnsi="宋体" w:hint="eastAsia"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bidi="zh-TW" w:eastAsia="zh-CN"/>
        </w:rPr>
        <w:t>请参与课程同学加入</w:t>
      </w:r>
      <w:r>
        <w:rPr>
          <w:rFonts w:ascii="宋体" w:cs="宋体" w:hAnsi="宋体" w:hint="eastAsia"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bidi="zh-TW" w:eastAsia="zh-CN"/>
        </w:rPr>
        <w:t>微信群：</w:t>
      </w:r>
      <w:r>
        <w:rPr>
          <w:rFonts w:ascii="宋体" w:cs="宋体" w:hAnsi="宋体" w:hint="eastAsia"/>
          <w:color w:val="000000"/>
          <w:kern w:val="0"/>
          <w:sz w:val="21"/>
          <w:szCs w:val="21"/>
          <w:lang w:val="en-US" w:eastAsia="zh-CN"/>
        </w:rPr>
        <w:t>（介</w:t>
      </w:r>
      <w:bookmarkStart w:id="3" w:name="_GoBack"/>
      <w:bookmarkEnd w:id="3"/>
      <w:r>
        <w:rPr>
          <w:rFonts w:ascii="宋体" w:cs="宋体" w:eastAsia="宋体" w:hAnsi="宋体" w:hint="eastAsia"/>
          <w:color w:val="000000"/>
          <w:kern w:val="0"/>
          <w:sz w:val="21"/>
          <w:szCs w:val="21"/>
          <w:lang w:val="en-US" w:eastAsia="zh-CN"/>
        </w:rPr>
        <w:t>时</w:t>
      </w:r>
      <w:r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lang w:val="en-US" w:bidi="ar-SA" w:eastAsia="zh-CN"/>
        </w:rPr>
        <w:t>会在群内通知</w:t>
      </w:r>
      <w:r>
        <w:rPr>
          <w:rFonts w:ascii="宋体" w:cs="宋体" w:hAnsi="宋体" w:hint="eastAsia"/>
          <w:b w:val="false"/>
          <w:bCs w:val="false"/>
          <w:kern w:val="2"/>
          <w:sz w:val="21"/>
          <w:szCs w:val="21"/>
          <w:lang w:val="en-US" w:bidi="ar-SA" w:eastAsia="zh-CN"/>
        </w:rPr>
        <w:t>课程</w:t>
      </w:r>
      <w:r>
        <w:rPr>
          <w:rFonts w:ascii="宋体" w:cs="宋体" w:eastAsia="宋体" w:hAnsi="宋体" w:hint="eastAsia"/>
          <w:b w:val="false"/>
          <w:bCs w:val="false"/>
          <w:kern w:val="2"/>
          <w:sz w:val="21"/>
          <w:szCs w:val="21"/>
          <w:lang w:val="en-US" w:bidi="ar-SA" w:eastAsia="zh-CN"/>
        </w:rPr>
        <w:t>具体时间</w:t>
      </w:r>
      <w:r>
        <w:rPr>
          <w:rFonts w:ascii="宋体" w:cs="宋体" w:hAnsi="宋体" w:hint="eastAsia"/>
          <w:b w:val="false"/>
          <w:bCs w:val="false"/>
          <w:kern w:val="2"/>
          <w:sz w:val="21"/>
          <w:szCs w:val="21"/>
          <w:lang w:val="en-US" w:bidi="ar-SA" w:eastAsia="zh-CN"/>
        </w:rPr>
        <w:t>地点</w:t>
      </w:r>
      <w:r>
        <w:rPr>
          <w:rFonts w:ascii="宋体" w:cs="宋体" w:hAnsi="宋体" w:hint="eastAsia"/>
          <w:color w:val="000000"/>
          <w:kern w:val="0"/>
          <w:sz w:val="21"/>
          <w:szCs w:val="21"/>
          <w:lang w:val="en-US" w:eastAsia="zh-CN"/>
        </w:rPr>
        <w:t>）</w:t>
      </w:r>
      <w:r>
        <w:rPr>
          <w:rFonts w:ascii="宋体" w:cs="宋体" w:hAnsi="宋体" w:hint="eastAsia"/>
          <w:color w:val="000000"/>
          <w:kern w:val="0"/>
          <w:sz w:val="21"/>
          <w:szCs w:val="21"/>
          <w:lang w:val="en-US" w:eastAsia="zh-CN"/>
        </w:rPr>
        <w:drawing>
          <wp:inline distL="0" distT="0" distB="0" distR="0">
            <wp:extent cx="1182370" cy="1182370"/>
            <wp:effectExtent l="0" t="0" r="17780" b="17780"/>
            <wp:docPr id="1029" name="图片 1" descr="成都体育学院企业微信群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82370" cy="1182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leftChars="0" w:firstLine="420" w:firstLineChars="200"/>
        <w:textAlignment w:val="auto"/>
        <w:rPr>
          <w:rFonts w:ascii="宋体" w:cs="宋体" w:eastAsia="宋体" w:hAnsi="宋体" w:hint="eastAsia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bidi="zh-TW" w:eastAsia="zh-CN"/>
        </w:rPr>
        <w:t>群内配备专业教务老师，提供笔试、面试、认定等环节全程跟踪课程服务，为学生解惑答疑，实时督学（含报考指导）。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1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689804A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widowControl w:val="false"/>
      <w:spacing w:before="340" w:after="330" w:lineRule="auto" w:line="576"/>
      <w:jc w:val="both"/>
      <w:outlineLvl w:val="0"/>
    </w:pPr>
    <w:rPr>
      <w:rFonts w:ascii="Calibri" w:cs="宋体" w:eastAsia="宋体" w:hAnsi="Calibri"/>
      <w:b/>
      <w:kern w:val="44"/>
      <w:sz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jc w:val="left"/>
    </w:pPr>
    <w:rPr>
      <w:rFonts w:cs="Times New Roman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2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1081</Words>
  <Pages>4</Pages>
  <Characters>1196</Characters>
  <Application>WPS Office</Application>
  <DocSecurity>0</DocSecurity>
  <Paragraphs>185</Paragraphs>
  <ScaleCrop>false</ScaleCrop>
  <LinksUpToDate>false</LinksUpToDate>
  <CharactersWithSpaces>1233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2022-08-10T01:06:00Z</dcterms:created>
  <dc:creator>Administrator</dc:creator>
  <lastModifiedBy>SM-S9080</lastModifiedBy>
  <dcterms:modified xsi:type="dcterms:W3CDTF">2024-02-27T09:17:21Z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a75bd49a810d4494a31661f693e5a3bb_23</vt:lpwstr>
  </property>
</Properties>
</file>